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8F" w:rsidRDefault="00ED308F" w:rsidP="00ED308F">
      <w:pPr>
        <w:widowControl w:val="0"/>
        <w:spacing w:line="240" w:lineRule="auto"/>
        <w:ind w:left="17" w:right="817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Күні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___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Мөр орны</w:t>
      </w:r>
    </w:p>
    <w:p w:rsidR="00B20D69" w:rsidRDefault="00B20D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0D69" w:rsidRDefault="00B20D69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0D69" w:rsidRDefault="00B20D69">
      <w:pPr>
        <w:sectPr w:rsidR="00B20D69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B20D69" w:rsidRDefault="0076286C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</w:p>
    <w:p w:rsidR="00B20D69" w:rsidRDefault="0076286C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:rsidR="00B20D69" w:rsidRDefault="00B20D69">
      <w:pPr>
        <w:sectPr w:rsidR="00B20D69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B20D69" w:rsidRDefault="00B20D69">
      <w:pPr>
        <w:spacing w:after="16" w:line="140" w:lineRule="exact"/>
        <w:rPr>
          <w:sz w:val="14"/>
          <w:szCs w:val="14"/>
        </w:rPr>
      </w:pPr>
    </w:p>
    <w:p w:rsidR="00ED308F" w:rsidRDefault="00ED308F" w:rsidP="00ED308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  <w:lang w:val="kk-KZ"/>
        </w:rPr>
        <w:t>Дәрілік препараттың қауіпсіздігі, тиімділігі және сапасы жөніндегі салыстырмалы есеп</w:t>
      </w:r>
    </w:p>
    <w:p w:rsidR="00B20D69" w:rsidRDefault="00B20D6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B20D69" w:rsidRDefault="00B20D6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B20D69" w:rsidRDefault="00B20D6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B20D69" w:rsidRDefault="00B20D6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B20D69" w:rsidRDefault="00B20D6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B20D69" w:rsidRDefault="00B20D6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B20D69" w:rsidRDefault="00B20D69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B20D69" w:rsidRDefault="0076286C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43" behindDoc="1" locked="0" layoutInCell="0" allowOverlap="1" wp14:anchorId="713BDE2A" wp14:editId="20C6D98F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B20D69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20D69" w:rsidRDefault="00ED308F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20D69" w:rsidRDefault="00B20D69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B20D69" w:rsidRDefault="0076286C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ан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®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нф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ил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®</w:t>
                                  </w:r>
                                </w:p>
                              </w:tc>
                            </w:tr>
                            <w:tr w:rsidR="00B20D69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20D69" w:rsidRPr="00ED308F" w:rsidRDefault="00ED308F" w:rsidP="00ED308F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Өндірушісі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20D69" w:rsidRDefault="0076286C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ду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рм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ась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proofErr w:type="spellEnd"/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Д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раз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тд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proofErr w:type="spellEnd"/>
                                </w:p>
                              </w:tc>
                            </w:tr>
                            <w:tr w:rsidR="00B20D69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20D69" w:rsidRPr="00ED308F" w:rsidRDefault="00ED308F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Елі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20D69" w:rsidRDefault="0076286C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БР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ИЛИ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</w:t>
                                  </w:r>
                                </w:p>
                              </w:tc>
                            </w:tr>
                          </w:tbl>
                          <w:p w:rsidR="00F54029" w:rsidRDefault="00F54029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B20D69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20D69" w:rsidRDefault="00ED308F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20D69" w:rsidRDefault="00B20D69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20D69" w:rsidRDefault="0076286C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ан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®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нф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ил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л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®</w:t>
                            </w:r>
                          </w:p>
                        </w:tc>
                      </w:tr>
                      <w:tr w:rsidR="00B20D69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20D69" w:rsidRPr="00ED308F" w:rsidRDefault="00ED308F" w:rsidP="00ED308F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Өндірушісі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20D69" w:rsidRDefault="0076286C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к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ду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о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рм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ась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Д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раз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тд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  <w:proofErr w:type="spellEnd"/>
                          </w:p>
                        </w:tc>
                      </w:tr>
                      <w:tr w:rsidR="00B20D69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20D69" w:rsidRPr="00ED308F" w:rsidRDefault="00ED308F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Елі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20D69" w:rsidRDefault="0076286C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БР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ИЛИ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</w:t>
                            </w:r>
                          </w:p>
                        </w:tc>
                      </w:tr>
                    </w:tbl>
                    <w:p w:rsidR="00F54029" w:rsidRDefault="00F54029"/>
                  </w:txbxContent>
                </v:textbox>
                <w10:wrap anchorx="page"/>
              </v:shape>
            </w:pict>
          </mc:Fallback>
        </mc:AlternateContent>
      </w:r>
      <w:r w:rsidR="00ED308F" w:rsidRPr="00ED308F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 xml:space="preserve"> </w:t>
      </w:r>
      <w:r w:rsidR="00ED308F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>Есептен құпия ақпарат алынып тасталды</w:t>
      </w:r>
    </w:p>
    <w:p w:rsidR="00B20D69" w:rsidRDefault="00B20D6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B20D69" w:rsidRDefault="00B20D69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B20D69" w:rsidRDefault="0076286C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ED308F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Рәсім туралы анықтамалық ақпарат</w:t>
      </w:r>
    </w:p>
    <w:p w:rsidR="00B20D69" w:rsidRDefault="00B20D69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B20D69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76286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ED308F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Мемлекеттік тіркеу кезінде дәрілік заттың сараптамасын жүргізуге тіркеу дерекнамасын беру</w:t>
            </w:r>
          </w:p>
        </w:tc>
      </w:tr>
    </w:tbl>
    <w:p w:rsidR="00B20D69" w:rsidRDefault="00B20D69">
      <w:pPr>
        <w:spacing w:after="3" w:line="220" w:lineRule="exact"/>
      </w:pPr>
    </w:p>
    <w:p w:rsidR="00B20D69" w:rsidRDefault="0076286C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ED308F"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  <w:lang w:val="kk-KZ"/>
        </w:rPr>
        <w:t>Ғылыми талқылау</w:t>
      </w:r>
    </w:p>
    <w:p w:rsidR="00B20D69" w:rsidRDefault="00B20D69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B20D69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76286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ED308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Сапа а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ілері</w:t>
            </w:r>
          </w:p>
        </w:tc>
      </w:tr>
    </w:tbl>
    <w:p w:rsidR="00B20D69" w:rsidRDefault="00B20D69">
      <w:pPr>
        <w:sectPr w:rsidR="00B20D69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B20D69">
        <w:trPr>
          <w:cantSplit/>
          <w:trHeight w:hRule="exact" w:val="111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after="5" w:line="160" w:lineRule="exact"/>
              <w:rPr>
                <w:sz w:val="16"/>
                <w:szCs w:val="16"/>
              </w:rPr>
            </w:pPr>
          </w:p>
          <w:p w:rsidR="00B20D69" w:rsidRDefault="0076286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ED308F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Белсенді фармацевтикалық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>шығу тегі, сапасы туралы мәліметтерді талдау және субстанцияны пайдалану мүмкіндігі туралы қорытындылар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3F1303" w:rsidP="005936F3">
            <w:pPr>
              <w:widowControl w:val="0"/>
              <w:spacing w:before="3" w:line="240" w:lineRule="auto"/>
              <w:ind w:left="60" w:right="-1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Препараттың белсенді субстанциясы рекомбинантты адам инсулины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өндірген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орд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proofErr w:type="spellEnd"/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/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С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ХПА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–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kk-KZ"/>
              </w:rPr>
              <w:t xml:space="preserve">адам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нсул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ы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981F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құрылымдық және 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оле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уля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proofErr w:type="spellEnd"/>
            <w:r w:rsidR="00981F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лық формуласы ұсынылған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мо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ку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r w:rsidR="00981F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лық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м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</w:t>
            </w:r>
            <w:r w:rsidR="00981F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сы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-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8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07.6 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D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зи</w:t>
            </w:r>
            <w:proofErr w:type="spellEnd"/>
            <w:r w:rsidR="00981F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калық күйі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981F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–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 w:rsidR="00981F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ақ немесе аздап ақшыл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</w:t>
            </w:r>
            <w:proofErr w:type="spellEnd"/>
            <w:r w:rsidR="00981F2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лды ұнтақ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981F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еруі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-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 w:rsidR="00981F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суда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эта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ол</w:t>
            </w:r>
            <w:r w:rsidR="00981F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да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981F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981F2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ерімейді дерлік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981F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ерітілген минералды қышқылда ериді,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ио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ло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 w:rsidR="00981F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ялық белсенділігі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347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63"/>
                <w:sz w:val="23"/>
                <w:szCs w:val="23"/>
              </w:rPr>
              <w:t xml:space="preserve">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 </w:t>
            </w:r>
            <w:r w:rsidR="00981F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1 бірлікке теңестіріледі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981F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Өндіріс үрдісі ферменттеуден, түссіздендіруден, тазалаудан, ыдыраудан, цинкпен кристаллдаудан, тазалаудан, гидролизден, кристаллдаудан және қатырудан тұрады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 w:rsidR="00981F29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культураны жасушаның жұмыс банкінен алады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)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.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981F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Бастапқы материалды бақылау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981F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–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 w:rsidR="00981F29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kk-KZ"/>
              </w:rPr>
              <w:t xml:space="preserve">жасушаның жұмыс банкі және 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M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a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s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t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e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</w:t>
            </w:r>
            <w:proofErr w:type="spellEnd"/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ce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l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</w:t>
            </w:r>
            <w:proofErr w:type="spellEnd"/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B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an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k</w:t>
            </w:r>
            <w:proofErr w:type="spellEnd"/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 w:rsidR="00981F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өндірушінің спецификациясына сәйкес келеді. Критикалық кезеңдерді бақылау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 w:rsidR="00981F2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теу сатысы және цинкпен кристаллдау кезеңі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)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 w:rsidR="00981F29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kk-KZ"/>
              </w:rPr>
              <w:t>Өндірісті валидациялау 3 серияға жүргізілген және үрдіс өндірілгенін және спецификация критерийлеріне сәйкес келетінін растайды.</w:t>
            </w:r>
            <w:r w:rsidR="00981F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Инсулинді әзірлеу кезінде антибиотикке төзімді алынып тасталған ені бар микроорганизмнің штаммдары алынған, бұл инсулиннің ортаға шығуын елеулі арттырды және және жасушаға жүктемені төмендетті. Белсенді заттың құрылымын дәлелдеу пептидті картерлеумен,</w:t>
            </w:r>
            <w:r w:rsidR="00981F29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 w:rsidR="00981F29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C</w:t>
            </w:r>
            <w:r w:rsidR="00981F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</w:t>
            </w:r>
            <w:r w:rsidR="00981F29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="00981F2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981F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 w:rsidR="00981F2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ектр</w:t>
            </w:r>
            <w:r w:rsidR="00981F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 w:rsidR="00981F2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ско</w:t>
            </w:r>
            <w:r w:rsidR="00981F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 w:rsidR="00981F2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proofErr w:type="spellEnd"/>
            <w:r w:rsidR="00981F2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ямен</w:t>
            </w:r>
            <w:r w:rsidR="00981F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981F2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 w:rsidR="00981F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="00981F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 w:rsidR="00981F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 w:rsidR="00981F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="00981F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сп</w:t>
            </w:r>
            <w:r w:rsidR="00981F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 w:rsidR="00981F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ктром</w:t>
            </w:r>
            <w:r w:rsidR="00981F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 w:rsidR="00981F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три</w:t>
            </w:r>
            <w:proofErr w:type="spellEnd"/>
            <w:r w:rsidR="00981F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ямен</w:t>
            </w:r>
            <w:r w:rsidR="00981F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 w:rsidR="00981F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белсенділігін биологиялық анықтаумен расталған.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ик</w:t>
            </w:r>
            <w:r w:rsidR="00981F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хи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proofErr w:type="spellEnd"/>
            <w:r w:rsidR="00981F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ялық сипаттамасы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Ж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из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э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ек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proofErr w:type="spellEnd"/>
            <w:r w:rsidR="00981F2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лік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фо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 w:rsidR="00981F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тау және т.б.</w:t>
            </w:r>
            <w:r w:rsidR="005936F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Қоспалар ретінде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ин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ин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икоз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лат</w:t>
            </w:r>
            <w:proofErr w:type="spellEnd"/>
            <w:r w:rsidR="005936F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тар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5936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жоғары </w:t>
            </w:r>
            <w:proofErr w:type="spellStart"/>
            <w:proofErr w:type="gramStart"/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proofErr w:type="spellEnd"/>
            <w:r w:rsidR="005936F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лалы</w:t>
            </w:r>
            <w:proofErr w:type="gramEnd"/>
            <w:r w:rsidR="005936F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қ ақуыздар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5936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жасушалар, иесінің ақуыздары және ДНҚ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5936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сондай-ақ 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хро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обактер</w:t>
            </w:r>
            <w:proofErr w:type="spellEnd"/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5936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протеаз</w:t>
            </w:r>
            <w:r w:rsidR="005936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ы және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метил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ирол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идо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proofErr w:type="spellEnd"/>
            <w:r w:rsidR="005936F3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қоспалары бөлінген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 w:rsidR="005936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сондай-ақ бактериялық эндотоксиндерге және микробиологиялық тазалыққа көрсеткіштер тексерілген. Белсенді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бс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анц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 w:rsidR="005936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ЕФ сипатталған және сапа мен реттелетін нормалар көрсеткіштері бойынша сәйкес келеді. ҚР МФ белсенді субстанция жоқ. Белсенді субстанцияны сақтауды қақпағы және субстанциямен жанаспайтын резеңке тығындысы бар тығыздылығы жоғары контейнерде іске асырады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5936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көлемі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5-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0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5936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Қаптаманың материалы Еуропалық талаптарға сәйкес келеді. 3 өндірістік серияға тұрақтылық бойынша деректер ұзақ мерзімді сынақтар шартында мәлімделген 60 ай сақтау мерзімін растайды. </w:t>
            </w:r>
          </w:p>
        </w:tc>
      </w:tr>
      <w:tr w:rsidR="00B20D69">
        <w:trPr>
          <w:cantSplit/>
          <w:trHeight w:hRule="exact" w:val="269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after="12" w:line="240" w:lineRule="exact"/>
              <w:rPr>
                <w:sz w:val="24"/>
                <w:szCs w:val="24"/>
              </w:rPr>
            </w:pPr>
          </w:p>
          <w:p w:rsidR="00B20D69" w:rsidRDefault="0076286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ED308F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Қосымша заттар: пайдалануға рұқсат туралы қорытындымен сапасы, мөлшері туралы мәліметтерді талдау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3F1303" w:rsidP="003F1303">
            <w:pPr>
              <w:widowControl w:val="0"/>
              <w:spacing w:before="3" w:line="240" w:lineRule="auto"/>
              <w:ind w:left="60" w:right="-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Еуропалық талаптарға сәйкес дайын өнімді өндіру кезінде пайдаланылатын қосымша заттар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тр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й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гидр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фос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ы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игид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ы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це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proofErr w:type="spellEnd"/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крезол</w:t>
            </w:r>
            <w:proofErr w:type="spellEnd"/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цин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к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натр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й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ги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рокси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хлорсутек қышқылы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инъекци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яға арналған су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ам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ул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Аналитикалық әдістемелер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 9.0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сәйкес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Фармакопеяға сәйкес болса, әдістеменің валидациясы қолданылмайды.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Шығу тегі адами қосымша заттар, сондай-ақ жаңа қосымша заттар қолданылмайды. </w:t>
            </w:r>
          </w:p>
        </w:tc>
      </w:tr>
      <w:tr w:rsidR="00B20D69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76286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ED308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Дәрілік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</w:tbl>
    <w:p w:rsidR="00B20D69" w:rsidRDefault="00B20D69">
      <w:pPr>
        <w:sectPr w:rsidR="00B20D69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B20D69">
        <w:trPr>
          <w:cantSplit/>
          <w:trHeight w:hRule="exact" w:val="3225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B20D69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ED308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Өндіріс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3F1303" w:rsidP="005936F3">
            <w:pPr>
              <w:widowControl w:val="0"/>
              <w:spacing w:before="3" w:line="240" w:lineRule="auto"/>
              <w:ind w:left="60" w:right="19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Дайын өн</w:t>
            </w:r>
            <w:r w:rsidR="005936F3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нің өндірушісі көрсетілген, серияның құрамы: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9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00 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-ден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2100 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-ге дейін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kk-KZ"/>
              </w:rPr>
              <w:t>сапалы және сандық құрамы мен НҚ сілтемелер көрсетілген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)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Өндірістің сызбасы мен сипаттамасы және критикалық кезеңдерді бақылау ұсыныллған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kk-KZ"/>
              </w:rPr>
              <w:t>еріту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стери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ді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сүзгілеу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кристалл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ац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толықтырғыш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Дайын өнімді өндіру кезеңінде шприцке жинау қолмен жасалады. Өндіріс үрдісін валидациялау 1000л көлемді 3 серияға ұсынылған және үрдіс бақыланатынын және өндірілетінін көрсетеді, ал соңғы өнім барлық алдын ала анықталған рұқсат етілген критерийлерге сәйкес келеді. </w:t>
            </w:r>
          </w:p>
        </w:tc>
      </w:tr>
      <w:tr w:rsidR="00B20D69">
        <w:trPr>
          <w:cantSplit/>
          <w:trHeight w:hRule="exact" w:val="4013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B20D69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ED308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Сапа 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ED4EB0" w:rsidP="003F1303">
            <w:pPr>
              <w:widowControl w:val="0"/>
              <w:spacing w:before="3" w:line="240" w:lineRule="auto"/>
              <w:ind w:left="60" w:right="-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Дайын өнмінің сапасые бақылау өндірушінің СП сәйкес іске асырылады. Спецификация осы дәрілік түрге қажетті мынадай барлық сапа көрсеткіштерін қамтиды: сипаттамасы, сәйкестендіру,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крис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тал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дың түрі мен көлемі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из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оф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дық арақатынасы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жоғары молекулалық ақуыздар, ұқсас қоспалар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жалпы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цин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құйылатын сұйықтықтағы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ул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н,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е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крезол</w:t>
            </w:r>
            <w:proofErr w:type="spellEnd"/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акт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ри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ық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ндо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дер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ил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ділік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сандық анықтамасы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"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енол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/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Мет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кре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з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</w:t>
            </w:r>
            <w:proofErr w:type="spellEnd"/>
            <w:r w:rsidR="0076286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"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"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зо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дық арақатынасы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көрсеткіштері бойынша аналитикалық әдістемені валидациялау бойынша есептер рутиналық зерттеуде осы әдістемені пайдалануды растайды. Қалған көрсеткіштер фармакопеялық әдістемеге сәйкес тестіленеді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 w:rsidR="003F1303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kk-KZ"/>
              </w:rPr>
              <w:t>Валидацияның фармакопеялық әдістемесі ұшырамайды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).</w:t>
            </w:r>
          </w:p>
        </w:tc>
      </w:tr>
      <w:tr w:rsidR="00B20D69">
        <w:trPr>
          <w:cantSplit/>
          <w:trHeight w:hRule="exact" w:val="216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B20D69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ED308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Тұрақтылығы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ED4EB0" w:rsidP="00ED4EB0">
            <w:pPr>
              <w:widowControl w:val="0"/>
              <w:spacing w:before="3" w:line="240" w:lineRule="auto"/>
              <w:ind w:left="60" w:right="4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Дайын өнімнің 3 сериясына ұзақ мерзімді тұрақтылық бойынша деректер 30 айдың ішінде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2…8)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>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температурада ұзақ мерзімді сынақтар шартында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 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 xml:space="preserve">температурада 28 күннің ішінде және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 xml:space="preserve"> температурада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Сақтау шартында сапаны бақылау дайын өнімге спецификацияда ұсынылған көрсеткіштер бойынша іске асырылады. Нәтижелері нормаланған көрсеткіштерге сәйкес келеді және мәлімделген сақтау мерзімді 30 айды растайды. </w:t>
            </w:r>
          </w:p>
        </w:tc>
      </w:tr>
      <w:tr w:rsidR="00B20D69">
        <w:trPr>
          <w:cantSplit/>
          <w:trHeight w:hRule="exact" w:val="184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after="67" w:line="240" w:lineRule="exact"/>
              <w:rPr>
                <w:sz w:val="24"/>
                <w:szCs w:val="24"/>
              </w:rPr>
            </w:pPr>
          </w:p>
          <w:p w:rsidR="00B20D69" w:rsidRDefault="0076286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ED308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Клиникаға дейінгі аспектілер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B20D69">
            <w:pPr>
              <w:spacing w:after="14" w:line="200" w:lineRule="exact"/>
              <w:rPr>
                <w:sz w:val="20"/>
                <w:szCs w:val="20"/>
              </w:rPr>
            </w:pPr>
          </w:p>
          <w:p w:rsidR="00B20D69" w:rsidRDefault="002B24EC" w:rsidP="00ED4EB0">
            <w:pPr>
              <w:widowControl w:val="0"/>
              <w:spacing w:line="240" w:lineRule="auto"/>
              <w:ind w:left="60" w:right="-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Клиникаға дейінгі есеп толық көлемде </w:t>
            </w:r>
            <w:r w:rsidR="005D6BC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адами инсулинді пайдаланумен ұсынылған және клиникаға дейінгі қауіпсіздік бойынша деректердің толық пакеті қолжетімді.</w:t>
            </w:r>
            <w:r w:rsidR="00ED4EB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Зерттеу дәрілік заттардың уыттылығын анықтау бойынша ІСН нұсқауының барлық кезеңдерін қамтыды.</w:t>
            </w:r>
          </w:p>
        </w:tc>
      </w:tr>
    </w:tbl>
    <w:p w:rsidR="00B20D69" w:rsidRDefault="00B20D69">
      <w:pPr>
        <w:sectPr w:rsidR="00B20D69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B20D69">
        <w:trPr>
          <w:cantSplit/>
          <w:trHeight w:hRule="exact" w:val="71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after="97" w:line="240" w:lineRule="exact"/>
              <w:rPr>
                <w:sz w:val="24"/>
                <w:szCs w:val="24"/>
              </w:rPr>
            </w:pPr>
          </w:p>
          <w:p w:rsidR="00B20D69" w:rsidRDefault="0076286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ED308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калық аспектілер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B20D69">
            <w:pPr>
              <w:spacing w:after="14" w:line="200" w:lineRule="exact"/>
              <w:rPr>
                <w:sz w:val="20"/>
                <w:szCs w:val="20"/>
              </w:rPr>
            </w:pPr>
          </w:p>
          <w:p w:rsidR="00B20D69" w:rsidRDefault="003467A6">
            <w:pPr>
              <w:widowControl w:val="0"/>
              <w:spacing w:line="240" w:lineRule="auto"/>
              <w:ind w:left="60" w:right="5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Клиникалық есеп толық көлемде ұсынылған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2 типті диабеті бар пациенттерде екі фазалы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инсулинінің немесе адами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улин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інің күніне екі рет тиімділігі мен қауіпсіздігін салыстыру, көп ұлтты, рандомизацияланған, бақыланатын,</w:t>
            </w:r>
            <w:r w:rsidR="00D6382F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 xml:space="preserve"> екілік соқыр, тепе-тең зерттеу.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D638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9 елде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34</w:t>
            </w:r>
            <w:r w:rsidR="00D638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зерттеу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Х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ват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proofErr w:type="spellEnd"/>
            <w:r w:rsidR="00D6382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яда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3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Д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ан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</w:t>
            </w:r>
            <w:r w:rsidR="00D6382F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яда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5 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Ф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ин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ля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нди</w:t>
            </w:r>
            <w:proofErr w:type="spellEnd"/>
            <w:r w:rsidR="00D6382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яда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3 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В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</w:t>
            </w:r>
            <w:proofErr w:type="spellEnd"/>
            <w:r w:rsidR="00D6382F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яда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1 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кедони</w:t>
            </w:r>
            <w:proofErr w:type="spellEnd"/>
            <w:r w:rsidR="00D6382F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яда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3 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Н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орве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</w:t>
            </w:r>
            <w:proofErr w:type="spellEnd"/>
            <w:r w:rsidR="00D6382F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яда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7 </w:t>
            </w:r>
            <w:r w:rsidR="00D6382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П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ь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ш</w:t>
            </w:r>
            <w:proofErr w:type="spellEnd"/>
            <w:r w:rsidR="00D6382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ада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5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 w:rsidR="00D6382F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есейде және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Ш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ве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ци</w:t>
            </w:r>
            <w:proofErr w:type="spellEnd"/>
            <w:r w:rsidR="00D6382F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яда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B20D69" w:rsidRDefault="00B20D69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0D69" w:rsidRDefault="00D6382F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Негізгі міндеті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</w:p>
          <w:p w:rsidR="00B20D69" w:rsidRDefault="00B20D69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0D69" w:rsidRDefault="0076286C">
            <w:pPr>
              <w:widowControl w:val="0"/>
              <w:spacing w:line="240" w:lineRule="auto"/>
              <w:ind w:left="60" w:right="-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 w:rsidR="002B24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2 типті диабеті бар пациенттерде адами 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N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P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H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ин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ин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імен </w:t>
            </w:r>
            <w:proofErr w:type="spellStart"/>
            <w:r w:rsidR="002B24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IAs</w:t>
            </w:r>
            <w:r w:rsidR="002B24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</w:t>
            </w:r>
            <w:proofErr w:type="spellEnd"/>
            <w:r w:rsidR="002B24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3</w:t>
            </w:r>
            <w:r w:rsidR="002B24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0 </w:t>
            </w:r>
            <w:r w:rsidR="002B24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гликемиялық </w:t>
            </w:r>
            <w:proofErr w:type="gramStart"/>
            <w:r w:rsidR="002B24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ба</w:t>
            </w:r>
            <w:proofErr w:type="gramEnd"/>
            <w:r w:rsidR="002B24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қылауды салыстыру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 w:rsidR="002B24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Екінші міндеттер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 w:rsidR="002B24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адами 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N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P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H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ин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ин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імен </w:t>
            </w:r>
            <w:proofErr w:type="spellStart"/>
            <w:r w:rsidR="002B24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IAs</w:t>
            </w:r>
            <w:r w:rsidR="002B24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</w:t>
            </w:r>
            <w:proofErr w:type="spellEnd"/>
            <w:r w:rsidR="002B24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3</w:t>
            </w:r>
            <w:r w:rsidR="002B24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0 </w:t>
            </w:r>
            <w:r w:rsidR="002B24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гликемия жағдайларымен салыстыру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B20D69" w:rsidRDefault="00B20D69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0D69" w:rsidRDefault="0076286C">
            <w:pPr>
              <w:widowControl w:val="0"/>
              <w:spacing w:line="240" w:lineRule="auto"/>
              <w:ind w:left="60" w:right="58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 w:rsidR="002B24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адами 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N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P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H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ин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ин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імен </w:t>
            </w:r>
            <w:proofErr w:type="spellStart"/>
            <w:r w:rsidR="002B24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IAs</w:t>
            </w:r>
            <w:r w:rsidR="002B24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</w:t>
            </w:r>
            <w:proofErr w:type="spellEnd"/>
            <w:r w:rsidR="002B24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2B24E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3</w:t>
            </w:r>
            <w:r w:rsidR="002B24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0 </w:t>
            </w:r>
            <w:r w:rsidR="002B24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қ</w:t>
            </w:r>
            <w:proofErr w:type="gramStart"/>
            <w:r w:rsidR="002B24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ау</w:t>
            </w:r>
            <w:proofErr w:type="gramEnd"/>
            <w:r w:rsidR="002B24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іпсіздігін салыстыру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B20D69" w:rsidRDefault="00B20D69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0D69" w:rsidRPr="002B24EC" w:rsidRDefault="002B24EC" w:rsidP="002B24EC">
            <w:pPr>
              <w:widowControl w:val="0"/>
              <w:spacing w:line="240" w:lineRule="auto"/>
              <w:ind w:left="60" w:right="25"/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 xml:space="preserve">16 айлық емдеу кезеңінде гематология және биохимия үшін бөлек зертханалық талдаудың деңгейіне қатысты ешқандай клиникалық елеулі өзгерістер болған жоқ. Сынақ Хельсинки декларациясына және тиісті клиникалық практикаға сәйкес жүргізілген. </w:t>
            </w:r>
          </w:p>
        </w:tc>
      </w:tr>
      <w:tr w:rsidR="00B20D69">
        <w:trPr>
          <w:cantSplit/>
          <w:trHeight w:hRule="exact" w:val="225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line="240" w:lineRule="exact"/>
              <w:rPr>
                <w:sz w:val="24"/>
                <w:szCs w:val="24"/>
              </w:rPr>
            </w:pPr>
          </w:p>
          <w:p w:rsidR="00B20D69" w:rsidRDefault="00B20D69">
            <w:pPr>
              <w:spacing w:after="34" w:line="240" w:lineRule="exact"/>
              <w:rPr>
                <w:sz w:val="24"/>
                <w:szCs w:val="24"/>
              </w:rPr>
            </w:pPr>
          </w:p>
          <w:p w:rsidR="00B20D69" w:rsidRDefault="0076286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ED308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B20D69">
            <w:pPr>
              <w:spacing w:after="14" w:line="200" w:lineRule="exact"/>
              <w:rPr>
                <w:sz w:val="20"/>
                <w:szCs w:val="20"/>
              </w:rPr>
            </w:pPr>
          </w:p>
          <w:p w:rsidR="00B20D69" w:rsidRDefault="004072F0" w:rsidP="004072F0">
            <w:pPr>
              <w:widowControl w:val="0"/>
              <w:spacing w:line="240" w:lineRule="auto"/>
              <w:ind w:left="60" w:right="14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«Пайда-қауіп» арақатынасын ескере отырып, препарат:  </w:t>
            </w:r>
          </w:p>
          <w:p w:rsidR="00B20D69" w:rsidRPr="004072F0" w:rsidRDefault="0076286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глик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proofErr w:type="spellEnd"/>
            <w:r w:rsidR="004072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я</w:t>
            </w:r>
          </w:p>
          <w:p w:rsidR="00B20D69" w:rsidRDefault="00B20D69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0D69" w:rsidRPr="004072F0" w:rsidRDefault="0076286C" w:rsidP="004072F0">
            <w:pPr>
              <w:widowControl w:val="0"/>
              <w:spacing w:line="240" w:lineRule="auto"/>
              <w:ind w:left="60" w:right="3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 w:rsidR="004072F0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>адам инсулиніне немесе препараттың кез келген ингредиентіне жоғары сезімталдық кезі</w:t>
            </w:r>
            <w:r w:rsidR="004072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нде қарсы көрсетілген.</w:t>
            </w:r>
          </w:p>
        </w:tc>
      </w:tr>
      <w:tr w:rsidR="00B20D69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76286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ED308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Фармакологиялық қадағалау</w:t>
            </w:r>
          </w:p>
        </w:tc>
      </w:tr>
      <w:tr w:rsidR="00B20D69">
        <w:trPr>
          <w:cantSplit/>
          <w:trHeight w:hRule="exact" w:val="5816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B20D69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ED308F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Фармакологиялық қадағалау жүйесінің сипаттамасы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B20D69">
            <w:pPr>
              <w:spacing w:after="14" w:line="200" w:lineRule="exact"/>
              <w:rPr>
                <w:sz w:val="20"/>
                <w:szCs w:val="20"/>
              </w:rPr>
            </w:pPr>
          </w:p>
          <w:p w:rsidR="00B20D69" w:rsidRDefault="00ED308F" w:rsidP="004072F0">
            <w:pPr>
              <w:widowControl w:val="0"/>
              <w:spacing w:line="240" w:lineRule="auto"/>
              <w:ind w:left="60" w:right="3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>Фармакологиялық қадағалау жүйесінің м</w:t>
            </w:r>
            <w:proofErr w:type="spellStart"/>
            <w:r w:rsidR="0076286C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ас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тер</w:t>
            </w:r>
            <w:proofErr w:type="spellEnd"/>
            <w:r w:rsidR="0076286C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-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ай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ы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MFL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78.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Осы құжат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ордик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компаниясының фармакологиялық қадағалау жүйесі бойынша қысқаша есеп болып табылады және өтініш берушінің фармакологиялық қадағалау жүйесінің қысқаша есебі тіркеу куәлігін алуға өтінімге қосуға жататыны мәлімделген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 xml:space="preserve">О директивасының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  <w:lang w:val="kk-KZ"/>
              </w:rPr>
              <w:t xml:space="preserve">бабына сәйкестік мақсатында жеткілікті ақпаратты қамтамасыз ету үшін арналған.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компаниясының фармакологиялық қадағалау жүйесі жаһандық деңгейде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компаниясының фармакологиялық қадағалауын қамтиды және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компаниясы өткізетін бүкіл өнімге қолданылады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салдарынан бұл құжатта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компаниясы фармакологиялық қадағалау жүйесінің 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мастер-файлына ғана сілтеме жасайды. Қауіптерді басқару жүйесі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№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2.2,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ҚБЖ арналған деректерді жинауды аяқтау күні 2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6.10.</w:t>
            </w:r>
            <w:r w:rsidR="0076286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2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016.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Бұл ҚБЖ бірқатар қауіптерді</w:t>
            </w:r>
            <w:r w:rsidR="004072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және жоқ ақпаратты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болдырмау үшін жаңартылды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4072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Адам инсулині препараттары үшін әлеуетті немесе сәйкестендіретін қауіптерді қоса, қауіпсіздіктің ешқандай жаңа проблемасы анықталған жоқ. 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B20D69" w:rsidRDefault="00B20D69">
      <w:pPr>
        <w:sectPr w:rsidR="00B20D69">
          <w:pgSz w:w="11905" w:h="16837"/>
          <w:pgMar w:top="560" w:right="850" w:bottom="608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B20D69" w:rsidTr="00ED308F">
        <w:trPr>
          <w:cantSplit/>
          <w:trHeight w:hRule="exact" w:val="719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B20D69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ED308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Клиникаға дейінгі аспектілер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B20D69"/>
        </w:tc>
      </w:tr>
      <w:tr w:rsidR="00B20D69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B20D69">
            <w:pPr>
              <w:spacing w:after="14" w:line="240" w:lineRule="exact"/>
              <w:rPr>
                <w:sz w:val="24"/>
                <w:szCs w:val="24"/>
              </w:rPr>
            </w:pPr>
          </w:p>
          <w:p w:rsidR="00B20D69" w:rsidRDefault="0076286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ED308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Босатылу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D69" w:rsidRDefault="00B20D69">
            <w:pPr>
              <w:spacing w:after="15" w:line="200" w:lineRule="exact"/>
              <w:rPr>
                <w:sz w:val="20"/>
                <w:szCs w:val="20"/>
              </w:rPr>
            </w:pPr>
          </w:p>
          <w:p w:rsidR="00B20D69" w:rsidRDefault="00ED308F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Дәрігердің рецепті бойынша</w:t>
            </w:r>
            <w:r w:rsidR="007628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B20D69" w:rsidRDefault="0076286C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B20D69" w:rsidRDefault="0076286C">
                            <w:pPr>
                              <w:spacing w:line="240" w:lineRule="auto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Created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trial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version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PDF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Focus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Net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6.9.7.6!</w:t>
                            </w:r>
                          </w:p>
                          <w:p w:rsidR="00B20D69" w:rsidRDefault="0076286C">
                            <w:pPr>
                              <w:spacing w:line="240" w:lineRule="auto"/>
                            </w:pP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trial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version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sometimes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inserts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"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trial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"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into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random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places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20D69" w:rsidRDefault="005936F3">
                            <w:pPr>
                              <w:spacing w:line="240" w:lineRule="auto"/>
                            </w:pPr>
                            <w:hyperlink r:id="rId5">
                              <w:proofErr w:type="spellStart"/>
                              <w:r w:rsidR="0076286C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Get</w:t>
                              </w:r>
                              <w:proofErr w:type="spellEnd"/>
                              <w:r w:rsidR="0076286C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 w:rsidR="0076286C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the</w:t>
                              </w:r>
                              <w:proofErr w:type="spellEnd"/>
                              <w:r w:rsidR="0076286C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 w:rsidR="0076286C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full</w:t>
                              </w:r>
                              <w:proofErr w:type="spellEnd"/>
                              <w:r w:rsidR="0076286C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 w:rsidR="0076286C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version</w:t>
                              </w:r>
                              <w:proofErr w:type="spellEnd"/>
                              <w:r w:rsidR="0076286C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 w:rsidR="0076286C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of</w:t>
                              </w:r>
                              <w:proofErr w:type="spellEnd"/>
                              <w:r w:rsidR="0076286C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 xml:space="preserve"> PDF </w:t>
                              </w:r>
                              <w:proofErr w:type="spellStart"/>
                              <w:r w:rsidR="0076286C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Focus</w:t>
                              </w:r>
                              <w:proofErr w:type="spellEnd"/>
                              <w:r w:rsidR="0076286C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 xml:space="preserve"> .</w:t>
                              </w:r>
                              <w:proofErr w:type="spellStart"/>
                              <w:r w:rsidR="0076286C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Net</w:t>
                              </w:r>
                              <w:proofErr w:type="spellEnd"/>
                              <w:r w:rsidR="0076286C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" o:allowincell="f" stroked="f">
                <v:textbox>
                  <w:txbxContent>
                    <w:p w:rsidR="00B20D69" w:rsidRDefault="0076286C">
                      <w:pPr>
                        <w:spacing w:line="240" w:lineRule="auto"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Created by the trial version of PDF Focus .Net 6.9.7.6!</w:t>
                      </w:r>
                    </w:p>
                    <w:p w:rsidR="00B20D69" w:rsidRDefault="0076286C">
                      <w:pPr>
                        <w:spacing w:line="240" w:lineRule="auto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The trial version sometimes inserts "trial" into random places.</w:t>
                      </w:r>
                    </w:p>
                    <w:p w:rsidR="00B20D69" w:rsidRDefault="0076286C">
                      <w:pPr>
                        <w:spacing w:line="240" w:lineRule="auto"/>
                      </w:pPr>
                      <w:hyperlink r:id="rId6">
                        <w:r>
                          <w:rPr>
                            <w:color w:val="0000FF"/>
                            <w:sz w:val="24"/>
                            <w:szCs w:val="24"/>
                            <w:u w:val="single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20D69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69"/>
    <w:rsid w:val="002B24EC"/>
    <w:rsid w:val="003467A6"/>
    <w:rsid w:val="003F1303"/>
    <w:rsid w:val="004072F0"/>
    <w:rsid w:val="005936F3"/>
    <w:rsid w:val="005D6BC3"/>
    <w:rsid w:val="0076286C"/>
    <w:rsid w:val="00981F29"/>
    <w:rsid w:val="00B20D69"/>
    <w:rsid w:val="00D54824"/>
    <w:rsid w:val="00D6382F"/>
    <w:rsid w:val="00DE7AE6"/>
    <w:rsid w:val="00ED308F"/>
    <w:rsid w:val="00ED4EB0"/>
    <w:rsid w:val="00F5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autinsoft.com/products/pdf-focus/order.php" TargetMode="Externa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Айым А. Толегенова</dc:creator>
  <cp:lastModifiedBy>Индира</cp:lastModifiedBy>
  <cp:revision>7</cp:revision>
  <dcterms:created xsi:type="dcterms:W3CDTF">2019-10-16T11:47:00Z</dcterms:created>
  <dcterms:modified xsi:type="dcterms:W3CDTF">2019-10-27T16:38:00Z</dcterms:modified>
</cp:coreProperties>
</file>